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543"/>
        <w:gridCol w:w="100"/>
      </w:tblGrid>
      <w:tr w:rsidR="00F2371E" w:rsidRPr="00E35305" w14:paraId="2A37BCC3" w14:textId="77777777" w:rsidTr="006771F7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14:paraId="7F17E945" w14:textId="77777777" w:rsidR="006771F7" w:rsidRPr="00E35305" w:rsidRDefault="006771F7" w:rsidP="00B670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35305">
              <w:rPr>
                <w:b/>
                <w:bCs/>
                <w:sz w:val="28"/>
                <w:szCs w:val="28"/>
                <w:lang w:val="uk-UA"/>
              </w:rPr>
              <w:t>Бюлетень</w:t>
            </w:r>
          </w:p>
          <w:p w14:paraId="535CF0BB" w14:textId="56C9A06D" w:rsidR="006771F7" w:rsidRPr="00E35305" w:rsidRDefault="00F61C65" w:rsidP="00B670B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35305">
              <w:rPr>
                <w:bCs/>
                <w:sz w:val="28"/>
                <w:szCs w:val="28"/>
                <w:lang w:val="uk-UA"/>
              </w:rPr>
              <w:t>д</w:t>
            </w:r>
            <w:r w:rsidR="006771F7" w:rsidRPr="00E35305">
              <w:rPr>
                <w:bCs/>
                <w:sz w:val="28"/>
                <w:szCs w:val="28"/>
                <w:lang w:val="uk-UA"/>
              </w:rPr>
              <w:t>ля голосування</w:t>
            </w:r>
            <w:r w:rsidR="00D867DA" w:rsidRPr="00E35305">
              <w:rPr>
                <w:bCs/>
                <w:sz w:val="28"/>
                <w:szCs w:val="28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="00E162F9" w:rsidRPr="00E35305">
              <w:rPr>
                <w:bCs/>
                <w:sz w:val="28"/>
                <w:szCs w:val="28"/>
                <w:lang w:val="uk-UA"/>
              </w:rPr>
              <w:t>,</w:t>
            </w:r>
            <w:r w:rsidR="00D867DA" w:rsidRPr="00E35305">
              <w:rPr>
                <w:bCs/>
                <w:sz w:val="28"/>
                <w:szCs w:val="28"/>
                <w:lang w:val="uk-UA"/>
              </w:rPr>
              <w:t xml:space="preserve"> на</w:t>
            </w:r>
            <w:r w:rsidR="00137A53" w:rsidRPr="00E35305">
              <w:rPr>
                <w:bCs/>
                <w:sz w:val="28"/>
                <w:szCs w:val="28"/>
                <w:lang w:val="uk-UA"/>
              </w:rPr>
              <w:t xml:space="preserve"> дистанційних</w:t>
            </w:r>
            <w:r w:rsidR="00B11DE7" w:rsidRPr="00E3530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341EE" w:rsidRPr="00E35305">
              <w:rPr>
                <w:bCs/>
                <w:sz w:val="28"/>
                <w:szCs w:val="28"/>
                <w:lang w:val="uk-UA"/>
              </w:rPr>
              <w:t>річ</w:t>
            </w:r>
            <w:r w:rsidR="00BF7BE5" w:rsidRPr="00E35305">
              <w:rPr>
                <w:bCs/>
                <w:sz w:val="28"/>
                <w:szCs w:val="28"/>
                <w:lang w:val="uk-UA"/>
              </w:rPr>
              <w:t>них</w:t>
            </w:r>
            <w:r w:rsidR="00B11DE7" w:rsidRPr="00E3530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771F7" w:rsidRPr="00E35305">
              <w:rPr>
                <w:bCs/>
                <w:sz w:val="28"/>
                <w:szCs w:val="28"/>
                <w:lang w:val="uk-UA"/>
              </w:rPr>
              <w:t>Загальних зборах акціонерів</w:t>
            </w:r>
          </w:p>
          <w:p w14:paraId="2F8C08BB" w14:textId="101C5FED" w:rsidR="006771F7" w:rsidRPr="00E35305" w:rsidRDefault="00BF7BE5" w:rsidP="00B670B5">
            <w:pPr>
              <w:jc w:val="center"/>
              <w:rPr>
                <w:sz w:val="28"/>
                <w:szCs w:val="28"/>
                <w:lang w:val="uk-UA"/>
              </w:rPr>
            </w:pPr>
            <w:r w:rsidRPr="00E35305">
              <w:rPr>
                <w:sz w:val="28"/>
                <w:szCs w:val="28"/>
                <w:lang w:val="uk-UA"/>
              </w:rPr>
              <w:t>Приватного акціонерного товариства «Лізингова компанія «Укртранслізинг»</w:t>
            </w:r>
            <w:r w:rsidR="003341EE" w:rsidRPr="00E35305">
              <w:rPr>
                <w:sz w:val="28"/>
                <w:szCs w:val="28"/>
                <w:lang w:val="uk-UA"/>
              </w:rPr>
              <w:t xml:space="preserve"> (ідентифікаційний код 30674235)</w:t>
            </w:r>
          </w:p>
        </w:tc>
      </w:tr>
      <w:tr w:rsidR="00F2371E" w:rsidRPr="00E35305" w14:paraId="4268C768" w14:textId="77777777" w:rsidTr="006771F7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14:paraId="37513B9D" w14:textId="77777777" w:rsidR="006771F7" w:rsidRPr="00E35305" w:rsidRDefault="006771F7" w:rsidP="00B670B5">
            <w:pPr>
              <w:jc w:val="center"/>
              <w:rPr>
                <w:b/>
                <w:bCs/>
                <w:sz w:val="40"/>
                <w:szCs w:val="40"/>
                <w:lang w:val="uk-UA"/>
              </w:rPr>
            </w:pPr>
          </w:p>
        </w:tc>
      </w:tr>
      <w:tr w:rsidR="00F2371E" w:rsidRPr="00E35305" w14:paraId="6590E410" w14:textId="77777777" w:rsidTr="00BF7BE5">
        <w:trPr>
          <w:trHeight w:val="4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7AC5" w14:textId="77777777" w:rsidR="006771F7" w:rsidRPr="00E35305" w:rsidRDefault="006771F7" w:rsidP="00B670B5">
            <w:pPr>
              <w:rPr>
                <w:lang w:val="uk-UA"/>
              </w:rPr>
            </w:pPr>
            <w:r w:rsidRPr="00E35305">
              <w:rPr>
                <w:lang w:val="uk-UA"/>
              </w:rPr>
              <w:t>Дата проведення загальних зборів:</w:t>
            </w:r>
          </w:p>
          <w:p w14:paraId="48B6C4A9" w14:textId="6E5C2605" w:rsidR="00E921FC" w:rsidRPr="00E35305" w:rsidRDefault="00E921FC" w:rsidP="00B670B5">
            <w:pPr>
              <w:rPr>
                <w:lang w:val="uk-UA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61B" w14:textId="55AB3A58" w:rsidR="00E921FC" w:rsidRPr="00E35305" w:rsidRDefault="002C51B8" w:rsidP="00952C7E">
            <w:pPr>
              <w:tabs>
                <w:tab w:val="left" w:pos="15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30 квітня 2026 року</w:t>
            </w:r>
          </w:p>
        </w:tc>
      </w:tr>
      <w:tr w:rsidR="00F2371E" w:rsidRPr="00E35305" w14:paraId="37E93F1C" w14:textId="77777777" w:rsidTr="003341EE">
        <w:trPr>
          <w:trHeight w:val="4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3565" w14:textId="58F73212" w:rsidR="003341EE" w:rsidRPr="00E35305" w:rsidRDefault="003341EE" w:rsidP="003341EE">
            <w:pPr>
              <w:rPr>
                <w:lang w:val="uk-UA"/>
              </w:rPr>
            </w:pPr>
            <w:r w:rsidRPr="00E35305">
              <w:rPr>
                <w:shd w:val="clear" w:color="auto" w:fill="FFFFFF"/>
                <w:lang w:val="uk-UA"/>
              </w:rPr>
              <w:t>Дату і час початку голосування: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4E52" w14:textId="4616D067" w:rsidR="003341EE" w:rsidRPr="00E35305" w:rsidRDefault="002C51B8" w:rsidP="00B670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 квітня 2026 року о 10 годині 00 хвилин</w:t>
            </w:r>
          </w:p>
        </w:tc>
      </w:tr>
      <w:tr w:rsidR="00F2371E" w:rsidRPr="00E35305" w14:paraId="051AE13C" w14:textId="77777777" w:rsidTr="003341EE">
        <w:trPr>
          <w:trHeight w:val="6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714" w14:textId="59690721" w:rsidR="003341EE" w:rsidRPr="00E35305" w:rsidRDefault="003341EE" w:rsidP="003341EE">
            <w:pPr>
              <w:rPr>
                <w:shd w:val="clear" w:color="auto" w:fill="FFFFFF"/>
                <w:lang w:val="uk-UA"/>
              </w:rPr>
            </w:pPr>
            <w:r w:rsidRPr="00E35305">
              <w:rPr>
                <w:shd w:val="clear" w:color="auto" w:fill="FFFFFF"/>
                <w:lang w:val="uk-UA"/>
              </w:rPr>
              <w:t>Дата і час завершення голосування: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F5D6" w14:textId="60FC1806" w:rsidR="003341EE" w:rsidRPr="00E35305" w:rsidRDefault="002C51B8" w:rsidP="002C51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квітня 2026 року о 18 годині 00 хвилин</w:t>
            </w:r>
          </w:p>
        </w:tc>
      </w:tr>
      <w:tr w:rsidR="00F2371E" w:rsidRPr="00E35305" w14:paraId="5A4ED545" w14:textId="77777777" w:rsidTr="00BF7BE5">
        <w:trPr>
          <w:trHeight w:val="9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D20F" w14:textId="77777777" w:rsidR="00BF7BE5" w:rsidRPr="00E35305" w:rsidRDefault="00BF7BE5" w:rsidP="00B670B5">
            <w:pPr>
              <w:rPr>
                <w:lang w:val="uk-UA"/>
              </w:rPr>
            </w:pPr>
            <w:r w:rsidRPr="00E35305">
              <w:rPr>
                <w:lang w:val="uk-UA"/>
              </w:rPr>
              <w:t xml:space="preserve">Дата заповнення бюлетеня акціонером (представником акціонера):     </w:t>
            </w:r>
          </w:p>
          <w:p w14:paraId="0DE6BB64" w14:textId="4D165F8B" w:rsidR="00BF7BE5" w:rsidRPr="00E35305" w:rsidRDefault="00BF7BE5" w:rsidP="00B670B5">
            <w:pPr>
              <w:rPr>
                <w:lang w:val="uk-UA"/>
              </w:rPr>
            </w:pPr>
            <w:r w:rsidRPr="00E35305">
              <w:rPr>
                <w:lang w:val="uk-UA"/>
              </w:rPr>
              <w:t xml:space="preserve">                                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B20F" w14:textId="77777777" w:rsidR="00BF7BE5" w:rsidRPr="00E35305" w:rsidRDefault="00BF7BE5" w:rsidP="00B670B5">
            <w:pPr>
              <w:jc w:val="both"/>
              <w:rPr>
                <w:lang w:val="uk-UA"/>
              </w:rPr>
            </w:pPr>
          </w:p>
        </w:tc>
      </w:tr>
      <w:tr w:rsidR="00F2371E" w:rsidRPr="00E35305" w14:paraId="6A006E50" w14:textId="77777777" w:rsidTr="001A7D69"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41D77" w14:textId="77777777" w:rsidR="00BF7BE5" w:rsidRPr="00E35305" w:rsidRDefault="00BF7BE5" w:rsidP="00B670B5">
            <w:pPr>
              <w:rPr>
                <w:lang w:val="uk-UA"/>
              </w:rPr>
            </w:pPr>
            <w:r w:rsidRPr="00E35305">
              <w:rPr>
                <w:bCs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B2D94" w14:textId="77777777" w:rsidR="00BF7BE5" w:rsidRPr="00E35305" w:rsidRDefault="00BF7BE5" w:rsidP="00B670B5">
            <w:pPr>
              <w:jc w:val="both"/>
              <w:rPr>
                <w:b/>
                <w:i/>
                <w:lang w:val="uk-UA"/>
              </w:rPr>
            </w:pPr>
            <w:r w:rsidRPr="00E35305">
              <w:rPr>
                <w:b/>
                <w:i/>
                <w:lang w:val="uk-UA"/>
              </w:rPr>
              <w:t>_____________ (_____________)</w:t>
            </w:r>
          </w:p>
        </w:tc>
      </w:tr>
      <w:tr w:rsidR="00F2371E" w:rsidRPr="00E35305" w14:paraId="72F68BBB" w14:textId="77777777" w:rsidTr="001A7D69"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F451" w14:textId="77777777" w:rsidR="00BF7BE5" w:rsidRPr="00E35305" w:rsidRDefault="00BF7BE5" w:rsidP="00B670B5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8790" w14:textId="56327C86" w:rsidR="00BF7BE5" w:rsidRPr="00E35305" w:rsidRDefault="00BF7BE5" w:rsidP="00B670B5">
            <w:pPr>
              <w:jc w:val="center"/>
              <w:rPr>
                <w:bCs/>
                <w:i/>
                <w:iCs/>
                <w:lang w:val="uk-UA"/>
              </w:rPr>
            </w:pPr>
            <w:r w:rsidRPr="00E35305">
              <w:rPr>
                <w:bCs/>
                <w:i/>
                <w:iCs/>
                <w:lang w:val="uk-UA"/>
              </w:rPr>
              <w:t xml:space="preserve">        (прописом)</w:t>
            </w:r>
          </w:p>
        </w:tc>
      </w:tr>
      <w:tr w:rsidR="00F2371E" w:rsidRPr="002C51B8" w14:paraId="04BC8378" w14:textId="77777777" w:rsidTr="00AD18A9">
        <w:trPr>
          <w:trHeight w:val="340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E123E" w14:textId="172C896D" w:rsidR="00140A8E" w:rsidRPr="00E35305" w:rsidRDefault="00140A8E" w:rsidP="00B670B5">
            <w:pPr>
              <w:rPr>
                <w:bCs/>
                <w:u w:val="single"/>
                <w:lang w:val="uk-UA"/>
              </w:rPr>
            </w:pPr>
            <w:r w:rsidRPr="00E35305">
              <w:rPr>
                <w:bCs/>
                <w:u w:val="single"/>
                <w:lang w:val="uk-UA"/>
              </w:rPr>
              <w:t>Реквізити акціонера:</w:t>
            </w:r>
          </w:p>
          <w:p w14:paraId="447CECA0" w14:textId="77777777" w:rsidR="00140A8E" w:rsidRPr="00E35305" w:rsidRDefault="00140A8E" w:rsidP="00B670B5">
            <w:pPr>
              <w:rPr>
                <w:bCs/>
                <w:u w:val="single"/>
                <w:lang w:val="uk-UA"/>
              </w:rPr>
            </w:pPr>
          </w:p>
          <w:p w14:paraId="08BB713F" w14:textId="6A746348" w:rsidR="00140A8E" w:rsidRPr="00E35305" w:rsidRDefault="00140A8E" w:rsidP="00B670B5">
            <w:pPr>
              <w:rPr>
                <w:bCs/>
                <w:lang w:val="uk-UA"/>
              </w:rPr>
            </w:pPr>
            <w:r w:rsidRPr="00E35305">
              <w:rPr>
                <w:bCs/>
                <w:lang w:val="uk-UA"/>
              </w:rPr>
              <w:t xml:space="preserve">П.І.Б./найменування акціонера </w:t>
            </w:r>
          </w:p>
          <w:p w14:paraId="0F9C666A" w14:textId="77777777" w:rsidR="00140A8E" w:rsidRPr="00E35305" w:rsidRDefault="00140A8E" w:rsidP="00B670B5">
            <w:pPr>
              <w:rPr>
                <w:bCs/>
                <w:lang w:val="uk-UA"/>
              </w:rPr>
            </w:pPr>
          </w:p>
          <w:p w14:paraId="190227C0" w14:textId="77777777" w:rsidR="00140A8E" w:rsidRPr="00E35305" w:rsidRDefault="00140A8E" w:rsidP="00B670B5">
            <w:pPr>
              <w:rPr>
                <w:lang w:val="uk-UA"/>
              </w:rPr>
            </w:pPr>
            <w:r w:rsidRPr="00E35305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02BBC14D" w14:textId="77777777" w:rsidR="00140A8E" w:rsidRPr="00E35305" w:rsidRDefault="00140A8E" w:rsidP="00B670B5">
            <w:pPr>
              <w:rPr>
                <w:sz w:val="16"/>
                <w:szCs w:val="16"/>
                <w:lang w:val="uk-UA"/>
              </w:rPr>
            </w:pPr>
          </w:p>
          <w:p w14:paraId="775B7EC4" w14:textId="77F36490" w:rsidR="00140A8E" w:rsidRPr="00E35305" w:rsidRDefault="00140A8E" w:rsidP="00B670B5">
            <w:pPr>
              <w:rPr>
                <w:bCs/>
                <w:sz w:val="16"/>
                <w:szCs w:val="16"/>
                <w:lang w:val="uk-UA"/>
              </w:rPr>
            </w:pPr>
            <w:r w:rsidRPr="00E35305">
              <w:rPr>
                <w:lang w:val="uk-UA"/>
              </w:rPr>
              <w:t xml:space="preserve">Код за ЄДРПОУ та код за ЄДРІСІ (за наявності)/ ІКЮО  </w:t>
            </w:r>
            <w:r w:rsidRPr="00E35305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E35305">
              <w:rPr>
                <w:lang w:val="uk-UA"/>
              </w:rPr>
              <w:t>– для юридичної особи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B0C88" w14:textId="77777777" w:rsidR="00140A8E" w:rsidRPr="00E35305" w:rsidRDefault="00140A8E" w:rsidP="00B670B5">
            <w:pPr>
              <w:jc w:val="center"/>
              <w:rPr>
                <w:bCs/>
                <w:i/>
                <w:iCs/>
                <w:lang w:val="uk-UA"/>
              </w:rPr>
            </w:pPr>
          </w:p>
        </w:tc>
      </w:tr>
      <w:tr w:rsidR="00F2371E" w:rsidRPr="002C51B8" w14:paraId="5B4D7EFC" w14:textId="77777777" w:rsidTr="00BF7B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CAB1" w14:textId="608B28B3" w:rsidR="005476BC" w:rsidRPr="00E35305" w:rsidRDefault="005476BC" w:rsidP="00DD1A69">
            <w:pPr>
              <w:rPr>
                <w:sz w:val="16"/>
                <w:szCs w:val="16"/>
                <w:lang w:val="uk-UA"/>
              </w:rPr>
            </w:pPr>
          </w:p>
          <w:p w14:paraId="58ECC1FD" w14:textId="5F40F63D" w:rsidR="005476BC" w:rsidRPr="00E35305" w:rsidRDefault="005476BC" w:rsidP="00DD1A69">
            <w:pPr>
              <w:rPr>
                <w:u w:val="single"/>
                <w:lang w:val="uk-UA"/>
              </w:rPr>
            </w:pPr>
            <w:r w:rsidRPr="00E35305">
              <w:rPr>
                <w:u w:val="single"/>
                <w:lang w:val="uk-UA"/>
              </w:rPr>
              <w:t>Реквізити представника акціонера (за наявності)</w:t>
            </w:r>
            <w:r w:rsidR="00452C7E" w:rsidRPr="00E35305">
              <w:rPr>
                <w:u w:val="single"/>
                <w:lang w:val="uk-UA"/>
              </w:rPr>
              <w:t xml:space="preserve">: </w:t>
            </w:r>
            <w:r w:rsidRPr="00E35305">
              <w:rPr>
                <w:u w:val="single"/>
                <w:lang w:val="uk-UA"/>
              </w:rPr>
              <w:t xml:space="preserve"> </w:t>
            </w:r>
          </w:p>
          <w:p w14:paraId="078E9D15" w14:textId="77777777" w:rsidR="00140A8E" w:rsidRPr="00E35305" w:rsidRDefault="00140A8E" w:rsidP="00DD1A69">
            <w:pPr>
              <w:rPr>
                <w:u w:val="single"/>
                <w:lang w:val="uk-UA"/>
              </w:rPr>
            </w:pPr>
          </w:p>
          <w:p w14:paraId="0F5911B4" w14:textId="5CB73101" w:rsidR="00DD1A69" w:rsidRPr="00E35305" w:rsidRDefault="00DD1A69" w:rsidP="00DD1A69">
            <w:pPr>
              <w:rPr>
                <w:lang w:val="uk-UA"/>
              </w:rPr>
            </w:pPr>
            <w:r w:rsidRPr="00E35305">
              <w:rPr>
                <w:lang w:val="uk-UA"/>
              </w:rPr>
              <w:t>П.І.Б.</w:t>
            </w:r>
            <w:r w:rsidR="00235412" w:rsidRPr="00E35305">
              <w:rPr>
                <w:bCs/>
                <w:lang w:val="uk-UA"/>
              </w:rPr>
              <w:t xml:space="preserve"> /найменування</w:t>
            </w:r>
            <w:r w:rsidRPr="00E35305">
              <w:rPr>
                <w:lang w:val="uk-UA"/>
              </w:rPr>
              <w:t xml:space="preserve"> представника акціонера</w:t>
            </w:r>
          </w:p>
          <w:p w14:paraId="03325914" w14:textId="77777777" w:rsidR="00452C7E" w:rsidRPr="00E35305" w:rsidRDefault="00452C7E" w:rsidP="00452C7E">
            <w:pPr>
              <w:rPr>
                <w:sz w:val="16"/>
                <w:szCs w:val="16"/>
                <w:lang w:val="uk-UA"/>
              </w:rPr>
            </w:pPr>
          </w:p>
          <w:p w14:paraId="03738E9A" w14:textId="120472BE" w:rsidR="00452C7E" w:rsidRPr="00E35305" w:rsidRDefault="00452C7E" w:rsidP="00452C7E">
            <w:pPr>
              <w:rPr>
                <w:lang w:val="uk-UA"/>
              </w:rPr>
            </w:pPr>
            <w:r w:rsidRPr="00E35305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</w:t>
            </w:r>
            <w:r w:rsidR="00954ECD" w:rsidRPr="00E35305">
              <w:rPr>
                <w:lang w:val="uk-UA"/>
              </w:rPr>
              <w:t>– для фізичної особи</w:t>
            </w:r>
          </w:p>
          <w:p w14:paraId="4FB295F9" w14:textId="77777777" w:rsidR="00954ECD" w:rsidRPr="00E35305" w:rsidRDefault="00954ECD" w:rsidP="00452C7E">
            <w:pPr>
              <w:rPr>
                <w:lang w:val="uk-UA"/>
              </w:rPr>
            </w:pPr>
          </w:p>
          <w:p w14:paraId="11305F15" w14:textId="7D39FFFA" w:rsidR="00954ECD" w:rsidRPr="00E35305" w:rsidRDefault="00954ECD" w:rsidP="00452C7E">
            <w:pPr>
              <w:rPr>
                <w:lang w:val="uk-UA"/>
              </w:rPr>
            </w:pPr>
            <w:r w:rsidRPr="00E35305">
              <w:rPr>
                <w:lang w:val="uk-UA"/>
              </w:rPr>
              <w:t>Код за ЄДРПОУ</w:t>
            </w:r>
            <w:r w:rsidR="00D867DA" w:rsidRPr="00E35305">
              <w:rPr>
                <w:lang w:val="uk-UA"/>
              </w:rPr>
              <w:t xml:space="preserve"> та код</w:t>
            </w:r>
            <w:r w:rsidR="002242B7" w:rsidRPr="00E35305">
              <w:rPr>
                <w:lang w:val="uk-UA"/>
              </w:rPr>
              <w:t xml:space="preserve"> за</w:t>
            </w:r>
            <w:r w:rsidR="00D867DA" w:rsidRPr="00E35305">
              <w:rPr>
                <w:lang w:val="uk-UA"/>
              </w:rPr>
              <w:t xml:space="preserve"> ЄДРІСІ (за наявності)</w:t>
            </w:r>
            <w:r w:rsidRPr="00E35305">
              <w:rPr>
                <w:lang w:val="uk-UA"/>
              </w:rPr>
              <w:t xml:space="preserve">/ ІКЮО  </w:t>
            </w:r>
            <w:r w:rsidRPr="00E35305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E35305">
              <w:rPr>
                <w:lang w:val="uk-UA"/>
              </w:rPr>
              <w:t>– для юридичної особи</w:t>
            </w:r>
          </w:p>
          <w:p w14:paraId="5A4FC242" w14:textId="77777777" w:rsidR="002E6A9E" w:rsidRPr="00E35305" w:rsidRDefault="002E6A9E" w:rsidP="00B670B5">
            <w:pPr>
              <w:rPr>
                <w:lang w:val="uk-UA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3797" w14:textId="77777777" w:rsidR="002E6A9E" w:rsidRPr="00E35305" w:rsidRDefault="002E6A9E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052CD1C6" w14:textId="77777777" w:rsidR="00140A8E" w:rsidRPr="00E35305" w:rsidRDefault="00140A8E" w:rsidP="00B670B5">
      <w:pPr>
        <w:rPr>
          <w:bCs/>
          <w:i/>
          <w:iCs/>
          <w:lang w:val="uk-UA"/>
        </w:rPr>
      </w:pPr>
    </w:p>
    <w:p w14:paraId="085C036A" w14:textId="77777777" w:rsidR="001E7154" w:rsidRPr="00E35305" w:rsidRDefault="001E7154" w:rsidP="00B670B5">
      <w:pPr>
        <w:rPr>
          <w:bCs/>
          <w:i/>
          <w:iCs/>
          <w:lang w:val="uk-UA"/>
        </w:rPr>
      </w:pPr>
    </w:p>
    <w:p w14:paraId="237853AD" w14:textId="77777777" w:rsidR="00140A8E" w:rsidRPr="00E35305" w:rsidRDefault="00140A8E" w:rsidP="00B670B5">
      <w:pPr>
        <w:rPr>
          <w:bCs/>
          <w:i/>
          <w:iCs/>
          <w:lang w:val="uk-UA"/>
        </w:rPr>
      </w:pPr>
    </w:p>
    <w:p w14:paraId="5FD4DB47" w14:textId="77777777" w:rsidR="007E0B2A" w:rsidRPr="004E0793" w:rsidRDefault="007E0B2A" w:rsidP="00B670B5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lastRenderedPageBreak/>
        <w:t>Питання, винесене на голосування:</w:t>
      </w:r>
    </w:p>
    <w:p w14:paraId="47F80239" w14:textId="1FB2DEA7" w:rsidR="002C51B8" w:rsidRPr="004E0793" w:rsidRDefault="002C51B8" w:rsidP="00B670B5">
      <w:pPr>
        <w:rPr>
          <w:bCs/>
          <w:i/>
          <w:iCs/>
          <w:lang w:val="uk-UA"/>
        </w:rPr>
      </w:pPr>
    </w:p>
    <w:p w14:paraId="0E1FC49C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1. Про затвердження результатів фінансово-господарської діяльності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за 2025 рік.</w:t>
      </w:r>
    </w:p>
    <w:p w14:paraId="7C07ACFB" w14:textId="77777777" w:rsidR="007E0B2A" w:rsidRPr="004E0793" w:rsidRDefault="007E0B2A" w:rsidP="00B670B5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4D840B99" w14:textId="7AFDA7E8" w:rsidR="007E0B2A" w:rsidRPr="004E0793" w:rsidRDefault="003341EE" w:rsidP="00B670B5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</w:t>
      </w:r>
      <w:r w:rsidR="007E0B2A" w:rsidRPr="004E0793">
        <w:rPr>
          <w:bCs/>
          <w:i/>
          <w:iCs/>
          <w:lang w:val="uk-UA"/>
        </w:rPr>
        <w:t>кт</w:t>
      </w:r>
      <w:proofErr w:type="spellEnd"/>
      <w:r w:rsidR="007E0B2A" w:rsidRPr="004E0793">
        <w:rPr>
          <w:bCs/>
          <w:i/>
          <w:iCs/>
          <w:lang w:val="uk-UA"/>
        </w:rPr>
        <w:t xml:space="preserve"> </w:t>
      </w:r>
      <w:r w:rsidR="00800F6F" w:rsidRPr="004E0793">
        <w:rPr>
          <w:bCs/>
          <w:i/>
          <w:iCs/>
          <w:lang w:val="uk-UA"/>
        </w:rPr>
        <w:t>рішення</w:t>
      </w:r>
      <w:r w:rsidR="00E56CF3" w:rsidRPr="004E0793">
        <w:rPr>
          <w:bCs/>
          <w:i/>
          <w:iCs/>
          <w:lang w:val="uk-UA"/>
        </w:rPr>
        <w:t xml:space="preserve"> з питання</w:t>
      </w:r>
      <w:r w:rsidR="005A0F7B" w:rsidRPr="004E0793">
        <w:rPr>
          <w:bCs/>
          <w:i/>
          <w:iCs/>
          <w:lang w:val="uk-UA"/>
        </w:rPr>
        <w:t>, включеного до порядку денного загальних зборів</w:t>
      </w:r>
      <w:r w:rsidR="007E0B2A" w:rsidRPr="004E0793">
        <w:rPr>
          <w:bCs/>
          <w:i/>
          <w:iCs/>
          <w:lang w:val="uk-UA"/>
        </w:rPr>
        <w:t>:</w:t>
      </w:r>
    </w:p>
    <w:p w14:paraId="5546730F" w14:textId="77777777" w:rsidR="00EA702E" w:rsidRPr="004E0793" w:rsidRDefault="00EA702E" w:rsidP="00B670B5">
      <w:pPr>
        <w:rPr>
          <w:bCs/>
          <w:i/>
          <w:iCs/>
          <w:lang w:val="uk-UA"/>
        </w:rPr>
      </w:pPr>
    </w:p>
    <w:p w14:paraId="522F77AC" w14:textId="77777777" w:rsidR="004E0793" w:rsidRPr="004E0793" w:rsidRDefault="004E0793" w:rsidP="004E0793">
      <w:pPr>
        <w:ind w:left="567"/>
        <w:jc w:val="both"/>
        <w:rPr>
          <w:rFonts w:eastAsia="Calibri"/>
          <w:lang w:val="uk-UA" w:eastAsia="en-US"/>
        </w:rPr>
      </w:pPr>
      <w:r w:rsidRPr="004E0793">
        <w:rPr>
          <w:rFonts w:eastAsia="Calibri"/>
          <w:lang w:val="uk-UA" w:eastAsia="en-US"/>
        </w:rPr>
        <w:t xml:space="preserve">1.1. Затвердити консолідовану фінансову звітність </w:t>
      </w:r>
      <w:proofErr w:type="spellStart"/>
      <w:r w:rsidRPr="004E0793">
        <w:rPr>
          <w:rFonts w:eastAsia="Calibri"/>
          <w:lang w:val="uk-UA" w:eastAsia="en-US"/>
        </w:rPr>
        <w:t>ПрАТ</w:t>
      </w:r>
      <w:proofErr w:type="spellEnd"/>
      <w:r w:rsidRPr="004E0793">
        <w:rPr>
          <w:rFonts w:eastAsia="Calibri"/>
          <w:lang w:val="uk-UA" w:eastAsia="en-US"/>
        </w:rPr>
        <w:t xml:space="preserve"> «Укртранслізинг» за 2025 рік, підготовлену у відповідності до міжнародних стандартів фінансової звітності (МСФЗ), що додається.</w:t>
      </w:r>
    </w:p>
    <w:p w14:paraId="2F19D0C7" w14:textId="020EE2D2" w:rsidR="004E0793" w:rsidRPr="004E0793" w:rsidRDefault="004E0793" w:rsidP="004E0793">
      <w:pPr>
        <w:ind w:left="567"/>
        <w:jc w:val="both"/>
        <w:rPr>
          <w:bCs/>
          <w:i/>
          <w:iCs/>
          <w:lang w:val="uk-UA"/>
        </w:rPr>
      </w:pPr>
      <w:r w:rsidRPr="004E0793">
        <w:rPr>
          <w:rFonts w:eastAsia="Calibri"/>
          <w:lang w:val="uk-UA" w:eastAsia="en-US"/>
        </w:rPr>
        <w:t xml:space="preserve">1.2. Затвердити окрему фінансову звітність </w:t>
      </w:r>
      <w:proofErr w:type="spellStart"/>
      <w:r w:rsidRPr="004E0793">
        <w:rPr>
          <w:rFonts w:eastAsia="Calibri"/>
          <w:lang w:val="uk-UA" w:eastAsia="en-US"/>
        </w:rPr>
        <w:t>ПрАТ</w:t>
      </w:r>
      <w:proofErr w:type="spellEnd"/>
      <w:r w:rsidRPr="004E0793">
        <w:rPr>
          <w:rFonts w:eastAsia="Calibri"/>
          <w:lang w:val="uk-UA" w:eastAsia="en-US"/>
        </w:rPr>
        <w:t xml:space="preserve"> «Укртранслізинг» за 2025 рік, підготовлену у відповідності до міжнародних стандартів фінансової звітності (МСФЗ), що додається.</w:t>
      </w:r>
    </w:p>
    <w:p w14:paraId="68D6B00A" w14:textId="77777777" w:rsidR="002242B7" w:rsidRPr="004E0793" w:rsidRDefault="002242B7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F2371E" w:rsidRPr="004E0793" w14:paraId="3DD42BF0" w14:textId="77777777" w:rsidTr="00AC6EA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D71E" w14:textId="77777777" w:rsidR="00AC6EAA" w:rsidRPr="004E0793" w:rsidRDefault="00AC6EAA" w:rsidP="00B670B5">
            <w:pPr>
              <w:jc w:val="both"/>
              <w:rPr>
                <w:bCs/>
                <w:lang w:val="uk-UA"/>
              </w:rPr>
            </w:pPr>
          </w:p>
          <w:p w14:paraId="74F561D4" w14:textId="77777777" w:rsidR="00AC6EAA" w:rsidRPr="004E0793" w:rsidRDefault="00AC6EAA" w:rsidP="00B670B5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EA3F" w14:textId="77777777" w:rsidR="00AC6EAA" w:rsidRPr="004E0793" w:rsidRDefault="00AC6EAA" w:rsidP="00B670B5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1979" w14:textId="77777777" w:rsidR="00AC6EAA" w:rsidRPr="004E0793" w:rsidRDefault="00AC6EAA" w:rsidP="00B670B5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F25B4" w14:textId="77777777" w:rsidR="00AC6EAA" w:rsidRPr="004E0793" w:rsidRDefault="00AC6EAA" w:rsidP="00B670B5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1AE361A3" w14:textId="77777777" w:rsidR="009E4D63" w:rsidRPr="004E0793" w:rsidRDefault="009E4D63" w:rsidP="00EA702E">
      <w:pPr>
        <w:rPr>
          <w:bCs/>
          <w:i/>
          <w:iCs/>
          <w:lang w:val="uk-UA"/>
        </w:rPr>
      </w:pPr>
    </w:p>
    <w:p w14:paraId="7C5962EA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70CF33E3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t>Питання, винесене на голосування:</w:t>
      </w:r>
    </w:p>
    <w:p w14:paraId="58069110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712BB1EB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>2. Про розгляд висновків аудиторського звіту суб’єкта аудиторської діяльності за 2025 рік та затвердження заходів за результатами розгляду такого звіту.</w:t>
      </w:r>
    </w:p>
    <w:p w14:paraId="577B1D22" w14:textId="77777777" w:rsidR="002C51B8" w:rsidRPr="004E0793" w:rsidRDefault="002C51B8" w:rsidP="002C51B8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2919866E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53470513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669A7EF2" w14:textId="00E205A3" w:rsidR="002C51B8" w:rsidRPr="004E0793" w:rsidRDefault="004E0793" w:rsidP="004E0793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4E0793">
        <w:rPr>
          <w:lang w:val="uk-UA"/>
        </w:rPr>
        <w:t>2.1. Взяти до відома висновки аудиторського звіту ТОВ «</w:t>
      </w:r>
      <w:proofErr w:type="spellStart"/>
      <w:r w:rsidRPr="004E0793">
        <w:rPr>
          <w:lang w:val="uk-UA"/>
        </w:rPr>
        <w:t>Ейч</w:t>
      </w:r>
      <w:proofErr w:type="spellEnd"/>
      <w:r w:rsidRPr="004E0793">
        <w:rPr>
          <w:lang w:val="uk-UA"/>
        </w:rPr>
        <w:t xml:space="preserve"> </w:t>
      </w:r>
      <w:proofErr w:type="spellStart"/>
      <w:r w:rsidRPr="004E0793">
        <w:rPr>
          <w:lang w:val="uk-UA"/>
        </w:rPr>
        <w:t>ел</w:t>
      </w:r>
      <w:proofErr w:type="spellEnd"/>
      <w:r w:rsidRPr="004E0793">
        <w:rPr>
          <w:lang w:val="uk-UA"/>
        </w:rPr>
        <w:t xml:space="preserve"> </w:t>
      </w:r>
      <w:proofErr w:type="spellStart"/>
      <w:r w:rsidRPr="004E0793">
        <w:rPr>
          <w:lang w:val="uk-UA"/>
        </w:rPr>
        <w:t>бі</w:t>
      </w:r>
      <w:proofErr w:type="spellEnd"/>
      <w:r w:rsidRPr="004E0793">
        <w:rPr>
          <w:lang w:val="uk-UA"/>
        </w:rPr>
        <w:t xml:space="preserve"> </w:t>
      </w:r>
      <w:proofErr w:type="spellStart"/>
      <w:r w:rsidRPr="004E0793">
        <w:rPr>
          <w:lang w:val="uk-UA"/>
        </w:rPr>
        <w:t>юкрейн</w:t>
      </w:r>
      <w:proofErr w:type="spellEnd"/>
      <w:r w:rsidRPr="004E0793">
        <w:rPr>
          <w:lang w:val="uk-UA"/>
        </w:rPr>
        <w:t xml:space="preserve">» відносно консолідованого фінансової звітності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за 2025 рік, що закінчився 31 грудня 2025 року, та відносно окремої фінансової звітності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за 2025 рік, що закінчився 31 грудня 2025 року підготовленої у відповідності до міжнародних стандартів фінансової звітності (МСФЗ), без зауважень та додаткових заходів.</w:t>
      </w:r>
    </w:p>
    <w:p w14:paraId="6F08C780" w14:textId="77777777" w:rsidR="004E0793" w:rsidRPr="004E0793" w:rsidRDefault="004E0793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507A3BEA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E9F9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6790CA0D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3156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7734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AB9E5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7BA30366" w14:textId="77777777" w:rsidR="00EA702E" w:rsidRPr="004E0793" w:rsidRDefault="00EA702E" w:rsidP="00B670B5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lang w:val="uk-UA"/>
        </w:rPr>
      </w:pPr>
    </w:p>
    <w:p w14:paraId="15A86BB2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t>Питання, винесене на голосування:</w:t>
      </w:r>
    </w:p>
    <w:p w14:paraId="793848CD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4B39E1B6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3. Про розподіл прибутку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за 2025 рік.</w:t>
      </w:r>
    </w:p>
    <w:p w14:paraId="6AF3101C" w14:textId="77777777" w:rsidR="002C51B8" w:rsidRPr="004E0793" w:rsidRDefault="002C51B8" w:rsidP="002C51B8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09BDE169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547D2786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4090120A" w14:textId="7777777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 xml:space="preserve">3.1. Відрахувати 5% від чистого прибутку </w:t>
      </w:r>
      <w:proofErr w:type="spellStart"/>
      <w:r w:rsidRPr="004E0793">
        <w:rPr>
          <w:rFonts w:eastAsia="Calibri"/>
          <w:lang w:val="uk-UA"/>
        </w:rPr>
        <w:t>ПрАТ</w:t>
      </w:r>
      <w:proofErr w:type="spellEnd"/>
      <w:r w:rsidRPr="004E0793">
        <w:rPr>
          <w:rFonts w:eastAsia="Calibri"/>
          <w:lang w:val="uk-UA"/>
        </w:rPr>
        <w:t xml:space="preserve"> «Укртранслізинг» за 2025 рік до резервного капіталу </w:t>
      </w:r>
      <w:proofErr w:type="spellStart"/>
      <w:r w:rsidRPr="004E0793">
        <w:rPr>
          <w:rFonts w:eastAsia="Calibri"/>
          <w:lang w:val="uk-UA"/>
        </w:rPr>
        <w:t>ПрАТ</w:t>
      </w:r>
      <w:proofErr w:type="spellEnd"/>
      <w:r w:rsidRPr="004E0793">
        <w:rPr>
          <w:rFonts w:eastAsia="Calibri"/>
          <w:lang w:val="uk-UA"/>
        </w:rPr>
        <w:t xml:space="preserve"> «Укртранслізинг».</w:t>
      </w:r>
    </w:p>
    <w:p w14:paraId="5F338E4D" w14:textId="7777777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 xml:space="preserve">3.2. Спрямувати частину чистого прибутку </w:t>
      </w:r>
      <w:proofErr w:type="spellStart"/>
      <w:r w:rsidRPr="004E0793">
        <w:rPr>
          <w:rFonts w:eastAsia="Calibri"/>
          <w:lang w:val="uk-UA"/>
        </w:rPr>
        <w:t>ПрАТ</w:t>
      </w:r>
      <w:proofErr w:type="spellEnd"/>
      <w:r w:rsidRPr="004E0793">
        <w:rPr>
          <w:rFonts w:eastAsia="Calibri"/>
          <w:lang w:val="uk-UA"/>
        </w:rPr>
        <w:t xml:space="preserve"> «Укртранслізинг» за підсумками 2025 року на виплату дивідендів у сумі 250’000’000,00 гривень (двісті п’ятдесят мільйонів гривень нуль копійок).</w:t>
      </w:r>
    </w:p>
    <w:p w14:paraId="45C15702" w14:textId="57E7018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 xml:space="preserve">3.3. Суму чистого прибутку за 2025 рік, що залишиться після відрахування до резервного капіталу та виплати дивідендів, залишити в розпорядженні </w:t>
      </w:r>
      <w:proofErr w:type="spellStart"/>
      <w:r w:rsidRPr="004E0793">
        <w:rPr>
          <w:rFonts w:eastAsia="Calibri"/>
          <w:lang w:val="uk-UA"/>
        </w:rPr>
        <w:t>ПрАТ</w:t>
      </w:r>
      <w:proofErr w:type="spellEnd"/>
      <w:r w:rsidRPr="004E0793">
        <w:rPr>
          <w:rFonts w:eastAsia="Calibri"/>
          <w:lang w:val="uk-UA"/>
        </w:rPr>
        <w:t xml:space="preserve"> «Укртранслізинг».</w:t>
      </w:r>
    </w:p>
    <w:p w14:paraId="60622A3A" w14:textId="77777777" w:rsidR="002C51B8" w:rsidRPr="004E0793" w:rsidRDefault="002C51B8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3F500724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D826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224304EB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806B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4290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58945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38CF8329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lastRenderedPageBreak/>
        <w:t>Питання, винесене на голосування:</w:t>
      </w:r>
    </w:p>
    <w:p w14:paraId="0BE77FA2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164127F3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4. Про розгляд звіту наглядової ради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за 2025 рік та прийняття рішення за результатами розгляду такого звіту.</w:t>
      </w:r>
    </w:p>
    <w:p w14:paraId="7854E3BC" w14:textId="77777777" w:rsidR="002C51B8" w:rsidRPr="004E0793" w:rsidRDefault="002C51B8" w:rsidP="002C51B8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6BB19C74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17CC0368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08AB6A9A" w14:textId="7AFEE18B" w:rsidR="002C51B8" w:rsidRPr="004E0793" w:rsidRDefault="004E0793" w:rsidP="004E0793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 xml:space="preserve">4.1. Затвердити звіт наглядової ради </w:t>
      </w:r>
      <w:proofErr w:type="spellStart"/>
      <w:r w:rsidRPr="004E0793">
        <w:rPr>
          <w:rFonts w:eastAsia="Calibri"/>
          <w:lang w:val="uk-UA"/>
        </w:rPr>
        <w:t>ПрАТ</w:t>
      </w:r>
      <w:proofErr w:type="spellEnd"/>
      <w:r w:rsidRPr="004E0793">
        <w:rPr>
          <w:rFonts w:eastAsia="Calibri"/>
          <w:lang w:val="uk-UA"/>
        </w:rPr>
        <w:t xml:space="preserve"> «Укртранслізинг» за 2025 рік.</w:t>
      </w:r>
    </w:p>
    <w:p w14:paraId="1F1F9885" w14:textId="77777777" w:rsidR="004E0793" w:rsidRPr="004E0793" w:rsidRDefault="004E0793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363EA402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43CD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37A6EF9B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E8E0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8B81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09B31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1C26A849" w14:textId="77777777" w:rsidR="002C51B8" w:rsidRPr="004E0793" w:rsidRDefault="002C51B8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i/>
          <w:lang w:val="uk-UA"/>
        </w:rPr>
      </w:pPr>
    </w:p>
    <w:p w14:paraId="4238DADC" w14:textId="77777777" w:rsidR="004E0793" w:rsidRDefault="004E0793" w:rsidP="002C51B8">
      <w:pPr>
        <w:rPr>
          <w:bCs/>
          <w:i/>
          <w:iCs/>
          <w:lang w:val="uk-UA"/>
        </w:rPr>
      </w:pPr>
    </w:p>
    <w:p w14:paraId="1212BDE8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t>Питання, винесене на голосування:</w:t>
      </w:r>
    </w:p>
    <w:p w14:paraId="740C2866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7239462C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5. Про припинення повноважень голови та членів наглядової ради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«Укртранслізинг».</w:t>
      </w:r>
    </w:p>
    <w:p w14:paraId="1255B00B" w14:textId="77777777" w:rsidR="002C51B8" w:rsidRPr="004E0793" w:rsidRDefault="002C51B8" w:rsidP="002C51B8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7C4F6411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0CBEEAB9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3B433E96" w14:textId="7777777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 xml:space="preserve">5.1. Припинити повноваження голови та членів наглядової ради </w:t>
      </w:r>
      <w:proofErr w:type="spellStart"/>
      <w:r w:rsidRPr="004E0793">
        <w:rPr>
          <w:rFonts w:eastAsia="Calibri"/>
          <w:lang w:val="uk-UA"/>
        </w:rPr>
        <w:t>ПрАТ</w:t>
      </w:r>
      <w:proofErr w:type="spellEnd"/>
      <w:r w:rsidRPr="004E0793">
        <w:rPr>
          <w:rFonts w:eastAsia="Calibri"/>
          <w:lang w:val="uk-UA"/>
        </w:rPr>
        <w:t xml:space="preserve"> «Укртранслізинг», а саме:</w:t>
      </w:r>
    </w:p>
    <w:p w14:paraId="1DC4C6B4" w14:textId="7777777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>- Хор’якова Івана Михайловича;</w:t>
      </w:r>
    </w:p>
    <w:p w14:paraId="2107A270" w14:textId="7777777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>- Цихуляка Семена Васильовича;</w:t>
      </w:r>
    </w:p>
    <w:p w14:paraId="3CEF5B42" w14:textId="7777777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>- Хоцкіна Євгена Анатолійовича;</w:t>
      </w:r>
    </w:p>
    <w:p w14:paraId="458CD223" w14:textId="77777777" w:rsidR="004E0793" w:rsidRPr="004E0793" w:rsidRDefault="004E0793" w:rsidP="004E0793">
      <w:pPr>
        <w:ind w:left="567"/>
        <w:jc w:val="both"/>
        <w:rPr>
          <w:rFonts w:eastAsia="Calibri"/>
          <w:lang w:val="uk-UA"/>
        </w:rPr>
      </w:pPr>
      <w:r w:rsidRPr="004E0793">
        <w:rPr>
          <w:rFonts w:eastAsia="Calibri"/>
          <w:lang w:val="uk-UA"/>
        </w:rPr>
        <w:t xml:space="preserve">- </w:t>
      </w:r>
      <w:proofErr w:type="spellStart"/>
      <w:r w:rsidRPr="004E0793">
        <w:rPr>
          <w:rFonts w:eastAsia="Calibri"/>
          <w:lang w:val="uk-UA"/>
        </w:rPr>
        <w:t>Катрича</w:t>
      </w:r>
      <w:proofErr w:type="spellEnd"/>
      <w:r w:rsidRPr="004E0793">
        <w:rPr>
          <w:rFonts w:eastAsia="Calibri"/>
          <w:lang w:val="uk-UA"/>
        </w:rPr>
        <w:t xml:space="preserve"> Сергія Андрійовича;</w:t>
      </w:r>
    </w:p>
    <w:p w14:paraId="1A2AE615" w14:textId="4666566A" w:rsidR="004E0793" w:rsidRPr="004E0793" w:rsidRDefault="004E0793" w:rsidP="004E0793">
      <w:pPr>
        <w:ind w:left="567"/>
        <w:rPr>
          <w:bCs/>
          <w:iCs/>
          <w:lang w:val="uk-UA"/>
        </w:rPr>
      </w:pPr>
      <w:r w:rsidRPr="004E0793">
        <w:rPr>
          <w:rFonts w:eastAsia="Calibri"/>
          <w:lang w:val="uk-UA"/>
        </w:rPr>
        <w:t>- Капустіна Андрія Борисовича.</w:t>
      </w:r>
    </w:p>
    <w:p w14:paraId="133F6924" w14:textId="77777777" w:rsidR="002C51B8" w:rsidRPr="004E0793" w:rsidRDefault="002C51B8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364F7857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4AD2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66900B5D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EE04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EA45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3123E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21C874B4" w14:textId="77777777" w:rsidR="002C51B8" w:rsidRPr="004E0793" w:rsidRDefault="002C51B8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i/>
          <w:lang w:val="uk-UA"/>
        </w:rPr>
      </w:pPr>
    </w:p>
    <w:p w14:paraId="1A30FDB2" w14:textId="77777777" w:rsidR="004E0793" w:rsidRDefault="004E0793" w:rsidP="002C51B8">
      <w:pPr>
        <w:rPr>
          <w:bCs/>
          <w:i/>
          <w:iCs/>
          <w:lang w:val="uk-UA"/>
        </w:rPr>
      </w:pPr>
    </w:p>
    <w:p w14:paraId="2231E1BA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t>Питання, винесене на голосування:</w:t>
      </w:r>
    </w:p>
    <w:p w14:paraId="6EAD6938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07717EEA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7. Про затвердження умов цивільно-правових договорів, що укладаються з членами наглядової ради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«Укртранслізинг», встановлення розміру їх винагороди та обрання особи, уповноваженої на підписання договорів з членами наглядової ради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«Укртранслізинг».</w:t>
      </w:r>
    </w:p>
    <w:p w14:paraId="61603DB5" w14:textId="77777777" w:rsidR="002C51B8" w:rsidRPr="004E0793" w:rsidRDefault="002C51B8" w:rsidP="002C51B8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442C2FB5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6E2EFC42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745323B2" w14:textId="77777777" w:rsidR="004E0793" w:rsidRPr="004E0793" w:rsidRDefault="004E0793" w:rsidP="007A62D1">
      <w:pPr>
        <w:ind w:left="567"/>
        <w:jc w:val="both"/>
        <w:rPr>
          <w:shd w:val="clear" w:color="auto" w:fill="FFFFFF"/>
          <w:lang w:val="uk-UA"/>
        </w:rPr>
      </w:pPr>
      <w:r w:rsidRPr="004E0793">
        <w:rPr>
          <w:shd w:val="clear" w:color="auto" w:fill="FFFFFF"/>
          <w:lang w:val="uk-UA"/>
        </w:rPr>
        <w:t xml:space="preserve">7.1. Затвердити умови цивільно-правових договорів, що укладаються з членами наглядової ради </w:t>
      </w:r>
      <w:proofErr w:type="spellStart"/>
      <w:r w:rsidRPr="004E0793">
        <w:rPr>
          <w:shd w:val="clear" w:color="auto" w:fill="FFFFFF"/>
          <w:lang w:val="uk-UA"/>
        </w:rPr>
        <w:t>ПрАТ</w:t>
      </w:r>
      <w:proofErr w:type="spellEnd"/>
      <w:r w:rsidRPr="004E0793">
        <w:rPr>
          <w:shd w:val="clear" w:color="auto" w:fill="FFFFFF"/>
          <w:lang w:val="uk-UA"/>
        </w:rPr>
        <w:t xml:space="preserve"> «Укртранслізинг», встановити розмір їх винагороди згідно положення про наглядову раду </w:t>
      </w:r>
      <w:proofErr w:type="spellStart"/>
      <w:r w:rsidRPr="004E0793">
        <w:rPr>
          <w:shd w:val="clear" w:color="auto" w:fill="FFFFFF"/>
          <w:lang w:val="uk-UA"/>
        </w:rPr>
        <w:t>ПрАТ</w:t>
      </w:r>
      <w:proofErr w:type="spellEnd"/>
      <w:r w:rsidRPr="004E0793">
        <w:rPr>
          <w:shd w:val="clear" w:color="auto" w:fill="FFFFFF"/>
          <w:lang w:val="uk-UA"/>
        </w:rPr>
        <w:t xml:space="preserve"> «Укртранслізинг».</w:t>
      </w:r>
    </w:p>
    <w:p w14:paraId="5F0E0835" w14:textId="348D4EF7" w:rsidR="004E0793" w:rsidRPr="004E0793" w:rsidRDefault="004E0793" w:rsidP="007A62D1">
      <w:pPr>
        <w:ind w:left="567"/>
        <w:jc w:val="both"/>
        <w:rPr>
          <w:bCs/>
          <w:i/>
          <w:iCs/>
          <w:lang w:val="uk-UA"/>
        </w:rPr>
      </w:pPr>
      <w:r w:rsidRPr="004E0793">
        <w:rPr>
          <w:shd w:val="clear" w:color="auto" w:fill="FFFFFF"/>
          <w:lang w:val="uk-UA"/>
        </w:rPr>
        <w:t xml:space="preserve">7.2. Уповноважити Генерального директора </w:t>
      </w:r>
      <w:proofErr w:type="spellStart"/>
      <w:r w:rsidRPr="004E0793">
        <w:rPr>
          <w:shd w:val="clear" w:color="auto" w:fill="FFFFFF"/>
          <w:lang w:val="uk-UA"/>
        </w:rPr>
        <w:t>ПрАТ</w:t>
      </w:r>
      <w:proofErr w:type="spellEnd"/>
      <w:r w:rsidRPr="004E0793">
        <w:rPr>
          <w:shd w:val="clear" w:color="auto" w:fill="FFFFFF"/>
          <w:lang w:val="uk-UA"/>
        </w:rPr>
        <w:t xml:space="preserve"> «Укртранслізинг» Татарця Петра Васильовича підписати затверджені договори з членами наглядової ради від імені </w:t>
      </w:r>
      <w:proofErr w:type="spellStart"/>
      <w:r w:rsidRPr="004E0793">
        <w:rPr>
          <w:shd w:val="clear" w:color="auto" w:fill="FFFFFF"/>
          <w:lang w:val="uk-UA"/>
        </w:rPr>
        <w:t>ПрАТ</w:t>
      </w:r>
      <w:proofErr w:type="spellEnd"/>
      <w:r w:rsidRPr="004E0793">
        <w:rPr>
          <w:shd w:val="clear" w:color="auto" w:fill="FFFFFF"/>
          <w:lang w:val="uk-UA"/>
        </w:rPr>
        <w:t xml:space="preserve"> «Укртранслізинг».</w:t>
      </w:r>
    </w:p>
    <w:p w14:paraId="1B905116" w14:textId="77777777" w:rsidR="002C51B8" w:rsidRPr="004E0793" w:rsidRDefault="002C51B8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0F9F267A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7C0E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713AEE5D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5859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4431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6015E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6793DA0E" w14:textId="77777777" w:rsidR="002C51B8" w:rsidRPr="004E0793" w:rsidRDefault="002C51B8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i/>
          <w:lang w:val="uk-UA"/>
        </w:rPr>
      </w:pPr>
    </w:p>
    <w:p w14:paraId="2E212CB8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lastRenderedPageBreak/>
        <w:t>Питання, винесене на голосування:</w:t>
      </w:r>
    </w:p>
    <w:p w14:paraId="49BD5C52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384316BE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8. Про визначення основних напрямів діяльності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на 2026 рік.</w:t>
      </w:r>
    </w:p>
    <w:p w14:paraId="0403B152" w14:textId="77777777" w:rsidR="002C51B8" w:rsidRPr="004E0793" w:rsidRDefault="002C51B8" w:rsidP="002C51B8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1CB64D91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18CA6A2F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28585199" w14:textId="1F7B9CB1" w:rsidR="002C51B8" w:rsidRPr="004E0793" w:rsidRDefault="004E0793" w:rsidP="004E0793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4E0793">
        <w:rPr>
          <w:lang w:val="uk-UA"/>
        </w:rPr>
        <w:t xml:space="preserve">8.1. Визначити та затвердити основні напрямки діяльності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на 2026 рік, які зазначені в додатку до протоколу.</w:t>
      </w:r>
    </w:p>
    <w:p w14:paraId="6436EF71" w14:textId="77777777" w:rsidR="004E0793" w:rsidRPr="004E0793" w:rsidRDefault="004E0793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58BBD141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2579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148D6EB6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EC86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9132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0EDB3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385793AA" w14:textId="77777777" w:rsidR="002C51B8" w:rsidRPr="004E0793" w:rsidRDefault="002C51B8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i/>
          <w:lang w:val="uk-UA"/>
        </w:rPr>
      </w:pPr>
    </w:p>
    <w:p w14:paraId="64814BFC" w14:textId="77777777" w:rsidR="004E0793" w:rsidRDefault="004E0793" w:rsidP="002C51B8">
      <w:pPr>
        <w:rPr>
          <w:bCs/>
          <w:i/>
          <w:iCs/>
          <w:lang w:val="uk-UA"/>
        </w:rPr>
      </w:pPr>
    </w:p>
    <w:p w14:paraId="12C8AD90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t>Питання, винесене на голосування:</w:t>
      </w:r>
    </w:p>
    <w:p w14:paraId="37B727C2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399A5C35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9. Про внесення змін до Статуту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«Укртранслізинг».</w:t>
      </w:r>
    </w:p>
    <w:p w14:paraId="401CE54F" w14:textId="77777777" w:rsidR="002C51B8" w:rsidRPr="004E0793" w:rsidRDefault="002C51B8" w:rsidP="002C51B8">
      <w:pPr>
        <w:tabs>
          <w:tab w:val="left" w:pos="993"/>
        </w:tabs>
        <w:ind w:firstLine="708"/>
        <w:jc w:val="both"/>
        <w:rPr>
          <w:bCs/>
          <w:lang w:val="uk-UA"/>
        </w:rPr>
      </w:pPr>
    </w:p>
    <w:p w14:paraId="2F95D267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21B596EE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77FF667E" w14:textId="77777777" w:rsidR="004E0793" w:rsidRPr="004E0793" w:rsidRDefault="004E0793" w:rsidP="004E0793">
      <w:pPr>
        <w:ind w:left="567"/>
        <w:jc w:val="both"/>
        <w:rPr>
          <w:lang w:val="uk-UA"/>
        </w:rPr>
      </w:pPr>
      <w:r w:rsidRPr="004E0793">
        <w:rPr>
          <w:lang w:val="uk-UA"/>
        </w:rPr>
        <w:t xml:space="preserve">9.1. Внести зміни до Статуту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та затвердити його в новій редакції.</w:t>
      </w:r>
    </w:p>
    <w:p w14:paraId="1C0BE304" w14:textId="77777777" w:rsidR="004E0793" w:rsidRPr="004E0793" w:rsidRDefault="004E0793" w:rsidP="004E0793">
      <w:pPr>
        <w:ind w:left="567"/>
        <w:jc w:val="both"/>
        <w:rPr>
          <w:lang w:val="uk-UA"/>
        </w:rPr>
      </w:pPr>
      <w:r w:rsidRPr="004E0793">
        <w:rPr>
          <w:lang w:val="uk-UA"/>
        </w:rPr>
        <w:t xml:space="preserve">9.2. Доручити та уповноважити підписати Статут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у новій редакції Голові та Секретарю загальних зборів акціонерів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«Укртранслізинг». Підписи Голови та Секретаря загальних зборів акціонерів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нотаріально засвідчити.</w:t>
      </w:r>
    </w:p>
    <w:p w14:paraId="4E6BF650" w14:textId="0F10D205" w:rsidR="002C51B8" w:rsidRPr="004E0793" w:rsidRDefault="004E0793" w:rsidP="004E0793">
      <w:pPr>
        <w:widowControl w:val="0"/>
        <w:tabs>
          <w:tab w:val="left" w:pos="9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4E0793">
        <w:rPr>
          <w:lang w:val="uk-UA"/>
        </w:rPr>
        <w:t xml:space="preserve">9.3. Доручити Генеральному директору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Татарцю Петру Васильовичу здійснити реєстрацію нової редакції Статуту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у встановленому законодавством порядку і для цього надати йому повноваження на підписання будь-яких листів, заяв, фінансових та будь-яких інших документів, що будуть пов'язані з виконанням цього доручення. Надати ці повноваження Генеральному директору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з правом передоручення.</w:t>
      </w:r>
    </w:p>
    <w:p w14:paraId="2A8CA449" w14:textId="77777777" w:rsidR="004E0793" w:rsidRPr="004E0793" w:rsidRDefault="004E0793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3746B90E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A57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72C605D2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4EAA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8F86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6D143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2F360D07" w14:textId="77777777" w:rsidR="002C51B8" w:rsidRPr="004E0793" w:rsidRDefault="002C51B8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i/>
          <w:lang w:val="uk-UA"/>
        </w:rPr>
      </w:pPr>
    </w:p>
    <w:p w14:paraId="479E8F33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t>Питання, винесене на голосування:</w:t>
      </w:r>
    </w:p>
    <w:p w14:paraId="28E86036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26CE0543" w14:textId="77777777" w:rsidR="002C51B8" w:rsidRPr="004E0793" w:rsidRDefault="002C51B8" w:rsidP="002C51B8">
      <w:pPr>
        <w:tabs>
          <w:tab w:val="left" w:pos="142"/>
          <w:tab w:val="left" w:pos="317"/>
          <w:tab w:val="left" w:pos="993"/>
        </w:tabs>
        <w:ind w:left="567"/>
        <w:contextualSpacing/>
        <w:jc w:val="both"/>
        <w:rPr>
          <w:lang w:val="uk-UA"/>
        </w:rPr>
      </w:pPr>
      <w:r w:rsidRPr="004E0793">
        <w:rPr>
          <w:lang w:val="uk-UA"/>
        </w:rPr>
        <w:t xml:space="preserve">10. Про внесення змін до положення про загальні збори акціонерів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та до положення про наглядову раду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«Укртранслізинг», уповноваження осіб на їх підписання у нових редакціях.</w:t>
      </w:r>
    </w:p>
    <w:p w14:paraId="71D03239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207F2401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489506F1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64A142C0" w14:textId="77777777" w:rsidR="004E0793" w:rsidRPr="004E0793" w:rsidRDefault="004E0793" w:rsidP="004E0793">
      <w:pPr>
        <w:ind w:left="567"/>
        <w:jc w:val="both"/>
        <w:rPr>
          <w:lang w:val="uk-UA"/>
        </w:rPr>
      </w:pPr>
      <w:r w:rsidRPr="004E0793">
        <w:rPr>
          <w:lang w:val="uk-UA"/>
        </w:rPr>
        <w:t xml:space="preserve">10.1. Затвердити зміни до положення про загальні збори акціонерів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шляхом викладення його в новій редакції та доручити його підписання Голові загальних зборів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«Укртранслізинг».</w:t>
      </w:r>
    </w:p>
    <w:p w14:paraId="1355BAD3" w14:textId="198AA787" w:rsidR="004E0793" w:rsidRPr="004E0793" w:rsidRDefault="004E0793" w:rsidP="00B51C59">
      <w:pPr>
        <w:ind w:left="567"/>
        <w:jc w:val="both"/>
        <w:rPr>
          <w:bCs/>
          <w:i/>
          <w:iCs/>
          <w:lang w:val="uk-UA"/>
        </w:rPr>
      </w:pPr>
      <w:r w:rsidRPr="004E0793">
        <w:rPr>
          <w:lang w:val="uk-UA"/>
        </w:rPr>
        <w:t xml:space="preserve">10.2. Затвердити зміни до положення про наглядову раду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шляхом викладення його в новій редакції та доручити його підписання Голові загальних зборів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«Укртранслізинг».</w:t>
      </w:r>
    </w:p>
    <w:p w14:paraId="18381775" w14:textId="77777777" w:rsidR="002C51B8" w:rsidRPr="004E0793" w:rsidRDefault="002C51B8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57905248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970E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07F7CCBB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D0D7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96B4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765FC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40019422" w14:textId="77777777" w:rsidR="002C51B8" w:rsidRPr="004E0793" w:rsidRDefault="002C51B8" w:rsidP="002C51B8">
      <w:pPr>
        <w:rPr>
          <w:bCs/>
          <w:i/>
          <w:iCs/>
          <w:lang w:val="uk-UA"/>
        </w:rPr>
      </w:pPr>
      <w:r w:rsidRPr="004E0793">
        <w:rPr>
          <w:bCs/>
          <w:i/>
          <w:iCs/>
          <w:lang w:val="uk-UA"/>
        </w:rPr>
        <w:lastRenderedPageBreak/>
        <w:t>Питання, винесене на голосування:</w:t>
      </w:r>
    </w:p>
    <w:p w14:paraId="179CABA1" w14:textId="77777777" w:rsidR="002C51B8" w:rsidRPr="004E0793" w:rsidRDefault="002C51B8" w:rsidP="002C51B8">
      <w:pPr>
        <w:rPr>
          <w:bCs/>
          <w:i/>
          <w:iCs/>
          <w:lang w:val="uk-UA"/>
        </w:rPr>
      </w:pPr>
      <w:bookmarkStart w:id="0" w:name="_GoBack"/>
      <w:bookmarkEnd w:id="0"/>
    </w:p>
    <w:p w14:paraId="53556B88" w14:textId="77777777" w:rsidR="002C51B8" w:rsidRPr="004E0793" w:rsidRDefault="002C51B8" w:rsidP="002C51B8">
      <w:pPr>
        <w:ind w:left="567"/>
        <w:rPr>
          <w:b/>
          <w:bCs/>
          <w:lang w:val="uk-UA"/>
        </w:rPr>
      </w:pPr>
      <w:r w:rsidRPr="004E0793">
        <w:rPr>
          <w:rFonts w:eastAsia="Calibri"/>
          <w:lang w:val="uk-UA"/>
        </w:rPr>
        <w:t xml:space="preserve">11. Про схвалення правочину (угоди) від 14 січня 2026 р. №6/2026-ЦЮ, укладеного між </w:t>
      </w:r>
      <w:proofErr w:type="spellStart"/>
      <w:r w:rsidRPr="004E0793">
        <w:rPr>
          <w:rFonts w:eastAsia="Calibri"/>
          <w:lang w:val="uk-UA"/>
        </w:rPr>
        <w:t>ПрАТ</w:t>
      </w:r>
      <w:proofErr w:type="spellEnd"/>
      <w:r w:rsidRPr="004E0793">
        <w:rPr>
          <w:rFonts w:eastAsia="Calibri"/>
          <w:lang w:val="uk-UA"/>
        </w:rPr>
        <w:t xml:space="preserve"> «Укртранслізинг» та АТ «Укрзалізниця», щодо якого є заінтересованість.</w:t>
      </w:r>
    </w:p>
    <w:p w14:paraId="392873C4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5FEDE5F7" w14:textId="77777777" w:rsidR="002C51B8" w:rsidRPr="004E0793" w:rsidRDefault="002C51B8" w:rsidP="002C51B8">
      <w:pPr>
        <w:rPr>
          <w:bCs/>
          <w:i/>
          <w:iCs/>
          <w:lang w:val="uk-UA"/>
        </w:rPr>
      </w:pPr>
      <w:proofErr w:type="spellStart"/>
      <w:r w:rsidRPr="004E0793">
        <w:rPr>
          <w:bCs/>
          <w:i/>
          <w:iCs/>
          <w:lang w:val="uk-UA"/>
        </w:rPr>
        <w:t>Проєкт</w:t>
      </w:r>
      <w:proofErr w:type="spellEnd"/>
      <w:r w:rsidRPr="004E0793">
        <w:rPr>
          <w:bCs/>
          <w:i/>
          <w:iCs/>
          <w:lang w:val="uk-UA"/>
        </w:rPr>
        <w:t xml:space="preserve"> рішення з питання, включеного до порядку денного загальних зборів:</w:t>
      </w:r>
    </w:p>
    <w:p w14:paraId="449C24AC" w14:textId="77777777" w:rsidR="002C51B8" w:rsidRPr="004E0793" w:rsidRDefault="002C51B8" w:rsidP="002C51B8">
      <w:pPr>
        <w:rPr>
          <w:bCs/>
          <w:i/>
          <w:iCs/>
          <w:lang w:val="uk-UA"/>
        </w:rPr>
      </w:pPr>
    </w:p>
    <w:p w14:paraId="3537C290" w14:textId="2EC77957" w:rsidR="002C51B8" w:rsidRPr="004E0793" w:rsidRDefault="004E0793" w:rsidP="00F659E9">
      <w:pPr>
        <w:widowControl w:val="0"/>
        <w:tabs>
          <w:tab w:val="left" w:pos="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4E0793">
        <w:rPr>
          <w:lang w:val="uk-UA"/>
        </w:rPr>
        <w:t xml:space="preserve">11.1. Схвалити правочин (угоду) від 14 січня 2026 р. №6/2026-ЦЮ, укладений між </w:t>
      </w:r>
      <w:proofErr w:type="spellStart"/>
      <w:r w:rsidRPr="004E0793">
        <w:rPr>
          <w:lang w:val="uk-UA"/>
        </w:rPr>
        <w:t>ПрАТ</w:t>
      </w:r>
      <w:proofErr w:type="spellEnd"/>
      <w:r w:rsidRPr="004E0793">
        <w:rPr>
          <w:lang w:val="uk-UA"/>
        </w:rPr>
        <w:t xml:space="preserve"> «Укртранслізинг» та АТ «Укрзалізниця» (ідентифікаційний код 40075815), щодо якого є заінтересованість.</w:t>
      </w:r>
    </w:p>
    <w:p w14:paraId="3586CE7B" w14:textId="77777777" w:rsidR="004E0793" w:rsidRPr="004E0793" w:rsidRDefault="004E0793" w:rsidP="002C51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2C51B8" w:rsidRPr="004E0793" w14:paraId="4D4CB1B3" w14:textId="77777777" w:rsidTr="00DB1E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CD41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  <w:p w14:paraId="3FE20045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1FBF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C391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AA8211" w14:textId="77777777" w:rsidR="002C51B8" w:rsidRPr="004E0793" w:rsidRDefault="002C51B8" w:rsidP="00DB1ED4">
            <w:pPr>
              <w:jc w:val="both"/>
              <w:rPr>
                <w:bCs/>
                <w:lang w:val="uk-UA"/>
              </w:rPr>
            </w:pPr>
            <w:r w:rsidRPr="004E0793">
              <w:rPr>
                <w:bCs/>
                <w:lang w:val="uk-UA"/>
              </w:rPr>
              <w:t>ПРОТИ</w:t>
            </w:r>
          </w:p>
        </w:tc>
      </w:tr>
    </w:tbl>
    <w:p w14:paraId="4AB5EAE8" w14:textId="77777777" w:rsidR="002C51B8" w:rsidRPr="004E0793" w:rsidRDefault="002C51B8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lang w:val="uk-UA"/>
        </w:rPr>
      </w:pPr>
    </w:p>
    <w:p w14:paraId="53EB7AAF" w14:textId="73C45B28" w:rsidR="005F74A2" w:rsidRPr="004E0793" w:rsidRDefault="002E6A9E" w:rsidP="002E6A9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lang w:val="uk-UA"/>
        </w:rPr>
      </w:pPr>
      <w:r w:rsidRPr="004E0793">
        <w:rPr>
          <w:bCs/>
          <w:i/>
          <w:lang w:val="uk-UA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="00061772" w:rsidRPr="004E0793">
        <w:rPr>
          <w:bCs/>
          <w:i/>
          <w:lang w:val="uk-UA"/>
        </w:rPr>
        <w:t xml:space="preserve"> </w:t>
      </w:r>
    </w:p>
    <w:p w14:paraId="6FAB68E5" w14:textId="77777777" w:rsidR="008867A4" w:rsidRPr="004E0793" w:rsidRDefault="008867A4" w:rsidP="005F74A2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lang w:val="uk-UA"/>
        </w:rPr>
      </w:pPr>
    </w:p>
    <w:p w14:paraId="6354429A" w14:textId="328BF413" w:rsidR="003574B7" w:rsidRPr="004E0793" w:rsidRDefault="005F74A2" w:rsidP="005F74A2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lang w:val="uk-UA"/>
        </w:rPr>
      </w:pPr>
      <w:r w:rsidRPr="004E0793">
        <w:rPr>
          <w:bCs/>
          <w:i/>
          <w:lang w:val="uk-UA"/>
        </w:rPr>
        <w:t xml:space="preserve">Увага! </w:t>
      </w:r>
    </w:p>
    <w:p w14:paraId="2D43606B" w14:textId="77777777" w:rsidR="003341EE" w:rsidRPr="004E0793" w:rsidRDefault="003341EE" w:rsidP="005F74A2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lang w:val="uk-UA"/>
        </w:rPr>
      </w:pPr>
    </w:p>
    <w:p w14:paraId="4CDC9F9C" w14:textId="74DA8F9B" w:rsidR="00061772" w:rsidRPr="004E0793" w:rsidRDefault="003341EE" w:rsidP="003341EE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lang w:val="uk-UA"/>
        </w:rPr>
      </w:pPr>
      <w:r w:rsidRPr="004E0793">
        <w:rPr>
          <w:bCs/>
          <w:i/>
          <w:lang w:val="uk-UA"/>
        </w:rPr>
        <w:t>Бюлетень для голосування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sectPr w:rsidR="00061772" w:rsidRPr="004E0793" w:rsidSect="00CA6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D21E9" w14:textId="77777777" w:rsidR="00EE00F6" w:rsidRDefault="00EE00F6" w:rsidP="00C1614F">
      <w:r>
        <w:separator/>
      </w:r>
    </w:p>
  </w:endnote>
  <w:endnote w:type="continuationSeparator" w:id="0">
    <w:p w14:paraId="55F99649" w14:textId="77777777" w:rsidR="00EE00F6" w:rsidRDefault="00EE00F6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A5DE8" w14:textId="77777777" w:rsidR="00726120" w:rsidRDefault="007261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979835"/>
      <w:docPartObj>
        <w:docPartGallery w:val="Page Numbers (Bottom of Page)"/>
        <w:docPartUnique/>
      </w:docPartObj>
    </w:sdtPr>
    <w:sdtEndPr/>
    <w:sdtContent>
      <w:p w14:paraId="7C5FCB84" w14:textId="77777777" w:rsidR="001E7154" w:rsidRDefault="00C62736">
        <w:pPr>
          <w:pStyle w:val="a8"/>
          <w:jc w:val="right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9E9">
          <w:rPr>
            <w:noProof/>
          </w:rPr>
          <w:t>5</w:t>
        </w:r>
        <w:r>
          <w:fldChar w:fldCharType="end"/>
        </w:r>
      </w:p>
      <w:p w14:paraId="749927FF" w14:textId="77777777" w:rsidR="001E7154" w:rsidRPr="007A7892" w:rsidRDefault="001E7154" w:rsidP="001E7154">
        <w:pPr>
          <w:widowControl w:val="0"/>
          <w:tabs>
            <w:tab w:val="left" w:pos="226"/>
          </w:tabs>
          <w:autoSpaceDE w:val="0"/>
          <w:autoSpaceDN w:val="0"/>
          <w:adjustRightInd w:val="0"/>
          <w:jc w:val="right"/>
          <w:rPr>
            <w:b/>
            <w:bCs/>
            <w:color w:val="000000"/>
            <w:sz w:val="28"/>
            <w:szCs w:val="28"/>
            <w:lang w:val="uk-UA"/>
          </w:rPr>
        </w:pPr>
        <w:r w:rsidRPr="007A7892">
          <w:rPr>
            <w:bCs/>
            <w:color w:val="000000"/>
            <w:sz w:val="28"/>
            <w:szCs w:val="28"/>
            <w:lang w:val="uk-UA"/>
          </w:rPr>
          <w:t>__________________________________</w:t>
        </w:r>
      </w:p>
      <w:p w14:paraId="32A054CD" w14:textId="77777777" w:rsidR="001E7154" w:rsidRPr="007A7892" w:rsidRDefault="001E7154" w:rsidP="001E7154">
        <w:pPr>
          <w:jc w:val="right"/>
          <w:rPr>
            <w:sz w:val="28"/>
            <w:szCs w:val="28"/>
            <w:lang w:val="uk-UA"/>
          </w:rPr>
        </w:pPr>
        <w:r w:rsidRPr="007A7892">
          <w:rPr>
            <w:bCs/>
            <w:color w:val="000000"/>
            <w:sz w:val="28"/>
            <w:szCs w:val="28"/>
            <w:lang w:val="uk-UA"/>
          </w:rPr>
          <w:t xml:space="preserve">                                                 </w:t>
        </w:r>
        <w:r w:rsidRPr="007A7892">
          <w:rPr>
            <w:b/>
            <w:bCs/>
            <w:i/>
            <w:color w:val="000000"/>
            <w:lang w:val="uk-UA"/>
          </w:rPr>
          <w:t>(Підпис акціонера (представника акціонера)</w:t>
        </w:r>
      </w:p>
      <w:p w14:paraId="0F80161E" w14:textId="020F7481" w:rsidR="00C62736" w:rsidRDefault="00F659E9">
        <w:pPr>
          <w:pStyle w:val="a8"/>
          <w:jc w:val="righ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576C" w14:textId="77777777" w:rsidR="00726120" w:rsidRDefault="007261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87735" w14:textId="77777777" w:rsidR="00EE00F6" w:rsidRDefault="00EE00F6" w:rsidP="00C1614F">
      <w:r>
        <w:separator/>
      </w:r>
    </w:p>
  </w:footnote>
  <w:footnote w:type="continuationSeparator" w:id="0">
    <w:p w14:paraId="13981AFD" w14:textId="77777777" w:rsidR="00EE00F6" w:rsidRDefault="00EE00F6" w:rsidP="00C1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9EFE8" w14:textId="77777777" w:rsidR="00726120" w:rsidRDefault="007261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9CC87" w14:textId="77777777" w:rsidR="00726120" w:rsidRDefault="007261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C0C4" w14:textId="77777777" w:rsidR="00726120" w:rsidRDefault="007261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1073B5"/>
    <w:multiLevelType w:val="hybridMultilevel"/>
    <w:tmpl w:val="575E0558"/>
    <w:lvl w:ilvl="0" w:tplc="9036D8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A"/>
    <w:rsid w:val="00005FC3"/>
    <w:rsid w:val="000110C9"/>
    <w:rsid w:val="000252AA"/>
    <w:rsid w:val="00030271"/>
    <w:rsid w:val="00031DE7"/>
    <w:rsid w:val="00032C50"/>
    <w:rsid w:val="000467E6"/>
    <w:rsid w:val="00055AA1"/>
    <w:rsid w:val="00060F78"/>
    <w:rsid w:val="00061772"/>
    <w:rsid w:val="00077B9A"/>
    <w:rsid w:val="000B7F9D"/>
    <w:rsid w:val="000E52DD"/>
    <w:rsid w:val="000E6504"/>
    <w:rsid w:val="000F1E47"/>
    <w:rsid w:val="00137A53"/>
    <w:rsid w:val="00140A8E"/>
    <w:rsid w:val="0014259A"/>
    <w:rsid w:val="0015347E"/>
    <w:rsid w:val="0015383C"/>
    <w:rsid w:val="001608C1"/>
    <w:rsid w:val="00176E0C"/>
    <w:rsid w:val="001838EA"/>
    <w:rsid w:val="001959DE"/>
    <w:rsid w:val="001A0B18"/>
    <w:rsid w:val="001A2A34"/>
    <w:rsid w:val="001B4171"/>
    <w:rsid w:val="001C2B0A"/>
    <w:rsid w:val="001E3AD9"/>
    <w:rsid w:val="001E7154"/>
    <w:rsid w:val="00210763"/>
    <w:rsid w:val="00216C94"/>
    <w:rsid w:val="002242B7"/>
    <w:rsid w:val="00230A49"/>
    <w:rsid w:val="00233A35"/>
    <w:rsid w:val="00235412"/>
    <w:rsid w:val="002567BE"/>
    <w:rsid w:val="0025701A"/>
    <w:rsid w:val="00272BAF"/>
    <w:rsid w:val="00281C79"/>
    <w:rsid w:val="002A5177"/>
    <w:rsid w:val="002A6293"/>
    <w:rsid w:val="002A6473"/>
    <w:rsid w:val="002A7EB8"/>
    <w:rsid w:val="002B6A3E"/>
    <w:rsid w:val="002C51B8"/>
    <w:rsid w:val="002D5286"/>
    <w:rsid w:val="002E5CC8"/>
    <w:rsid w:val="002E6A9E"/>
    <w:rsid w:val="002F3009"/>
    <w:rsid w:val="003006DE"/>
    <w:rsid w:val="00322A8E"/>
    <w:rsid w:val="003341EE"/>
    <w:rsid w:val="00336675"/>
    <w:rsid w:val="00353520"/>
    <w:rsid w:val="003574B7"/>
    <w:rsid w:val="00366769"/>
    <w:rsid w:val="00374DA9"/>
    <w:rsid w:val="00380A06"/>
    <w:rsid w:val="00394DFA"/>
    <w:rsid w:val="003A6918"/>
    <w:rsid w:val="003B7E42"/>
    <w:rsid w:val="003C1112"/>
    <w:rsid w:val="003C64E9"/>
    <w:rsid w:val="003D0681"/>
    <w:rsid w:val="004111E2"/>
    <w:rsid w:val="00411C93"/>
    <w:rsid w:val="00413F28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A0B10"/>
    <w:rsid w:val="004A2A37"/>
    <w:rsid w:val="004A37F8"/>
    <w:rsid w:val="004B7B09"/>
    <w:rsid w:val="004C3BAB"/>
    <w:rsid w:val="004E0793"/>
    <w:rsid w:val="004E65F1"/>
    <w:rsid w:val="00540AF7"/>
    <w:rsid w:val="005476BC"/>
    <w:rsid w:val="00555860"/>
    <w:rsid w:val="00566E42"/>
    <w:rsid w:val="0057409F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60C4A"/>
    <w:rsid w:val="00670CD2"/>
    <w:rsid w:val="006722B3"/>
    <w:rsid w:val="006771F7"/>
    <w:rsid w:val="006C1FF1"/>
    <w:rsid w:val="006C437C"/>
    <w:rsid w:val="006D096E"/>
    <w:rsid w:val="00702060"/>
    <w:rsid w:val="007225D7"/>
    <w:rsid w:val="00725D2E"/>
    <w:rsid w:val="00726120"/>
    <w:rsid w:val="007270E5"/>
    <w:rsid w:val="00733B34"/>
    <w:rsid w:val="00740C0A"/>
    <w:rsid w:val="00751D67"/>
    <w:rsid w:val="00776147"/>
    <w:rsid w:val="007906CB"/>
    <w:rsid w:val="007A06D2"/>
    <w:rsid w:val="007A62D1"/>
    <w:rsid w:val="007A7892"/>
    <w:rsid w:val="007B4FB8"/>
    <w:rsid w:val="007C57AB"/>
    <w:rsid w:val="007D3315"/>
    <w:rsid w:val="007E0B2A"/>
    <w:rsid w:val="007E48BA"/>
    <w:rsid w:val="00800F6F"/>
    <w:rsid w:val="00812568"/>
    <w:rsid w:val="0082359A"/>
    <w:rsid w:val="00832B39"/>
    <w:rsid w:val="008522BC"/>
    <w:rsid w:val="00853C58"/>
    <w:rsid w:val="008614B5"/>
    <w:rsid w:val="008838C3"/>
    <w:rsid w:val="008867A4"/>
    <w:rsid w:val="008A1074"/>
    <w:rsid w:val="008C12DC"/>
    <w:rsid w:val="008D157F"/>
    <w:rsid w:val="008D5F1D"/>
    <w:rsid w:val="008E07F6"/>
    <w:rsid w:val="008E7789"/>
    <w:rsid w:val="008F0E85"/>
    <w:rsid w:val="008F661D"/>
    <w:rsid w:val="0090347B"/>
    <w:rsid w:val="009160CF"/>
    <w:rsid w:val="0093018D"/>
    <w:rsid w:val="009519BF"/>
    <w:rsid w:val="00952C7E"/>
    <w:rsid w:val="00954ECD"/>
    <w:rsid w:val="009611F4"/>
    <w:rsid w:val="009A153F"/>
    <w:rsid w:val="009A22AE"/>
    <w:rsid w:val="009A4507"/>
    <w:rsid w:val="009B0EAA"/>
    <w:rsid w:val="009B2DF3"/>
    <w:rsid w:val="009D5A66"/>
    <w:rsid w:val="009E4D63"/>
    <w:rsid w:val="009F270C"/>
    <w:rsid w:val="00A01A45"/>
    <w:rsid w:val="00A04344"/>
    <w:rsid w:val="00A16C04"/>
    <w:rsid w:val="00A4203A"/>
    <w:rsid w:val="00A47D39"/>
    <w:rsid w:val="00A50DFB"/>
    <w:rsid w:val="00A64091"/>
    <w:rsid w:val="00A645EF"/>
    <w:rsid w:val="00A84674"/>
    <w:rsid w:val="00A86975"/>
    <w:rsid w:val="00A955EE"/>
    <w:rsid w:val="00AA1B8B"/>
    <w:rsid w:val="00AC6EAA"/>
    <w:rsid w:val="00AD7617"/>
    <w:rsid w:val="00AE0D23"/>
    <w:rsid w:val="00AE3250"/>
    <w:rsid w:val="00AF0160"/>
    <w:rsid w:val="00B11DE7"/>
    <w:rsid w:val="00B12CCE"/>
    <w:rsid w:val="00B30151"/>
    <w:rsid w:val="00B324E9"/>
    <w:rsid w:val="00B3344D"/>
    <w:rsid w:val="00B3386C"/>
    <w:rsid w:val="00B35791"/>
    <w:rsid w:val="00B4506E"/>
    <w:rsid w:val="00B50940"/>
    <w:rsid w:val="00B51C59"/>
    <w:rsid w:val="00B57469"/>
    <w:rsid w:val="00B670B5"/>
    <w:rsid w:val="00B83D2D"/>
    <w:rsid w:val="00B87B1F"/>
    <w:rsid w:val="00BA5B62"/>
    <w:rsid w:val="00BB0747"/>
    <w:rsid w:val="00BB5458"/>
    <w:rsid w:val="00BC1418"/>
    <w:rsid w:val="00BC1658"/>
    <w:rsid w:val="00BD07CB"/>
    <w:rsid w:val="00BE30AA"/>
    <w:rsid w:val="00BE43DA"/>
    <w:rsid w:val="00BF4EF1"/>
    <w:rsid w:val="00BF5530"/>
    <w:rsid w:val="00BF7BE5"/>
    <w:rsid w:val="00C031D3"/>
    <w:rsid w:val="00C145E5"/>
    <w:rsid w:val="00C1614F"/>
    <w:rsid w:val="00C2394A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114E2"/>
    <w:rsid w:val="00D25F45"/>
    <w:rsid w:val="00D46493"/>
    <w:rsid w:val="00D54063"/>
    <w:rsid w:val="00D852AF"/>
    <w:rsid w:val="00D867DA"/>
    <w:rsid w:val="00D95406"/>
    <w:rsid w:val="00DD0AE0"/>
    <w:rsid w:val="00DD1A69"/>
    <w:rsid w:val="00DD36C3"/>
    <w:rsid w:val="00DF2ECE"/>
    <w:rsid w:val="00DF7EDC"/>
    <w:rsid w:val="00E162F9"/>
    <w:rsid w:val="00E1709D"/>
    <w:rsid w:val="00E35305"/>
    <w:rsid w:val="00E51663"/>
    <w:rsid w:val="00E56C6F"/>
    <w:rsid w:val="00E56CF3"/>
    <w:rsid w:val="00E71B25"/>
    <w:rsid w:val="00E82F17"/>
    <w:rsid w:val="00E921FC"/>
    <w:rsid w:val="00E958AD"/>
    <w:rsid w:val="00EA2CAF"/>
    <w:rsid w:val="00EA4721"/>
    <w:rsid w:val="00EA702E"/>
    <w:rsid w:val="00EE00F6"/>
    <w:rsid w:val="00EE2C7E"/>
    <w:rsid w:val="00EE54D1"/>
    <w:rsid w:val="00EF14D0"/>
    <w:rsid w:val="00F00D83"/>
    <w:rsid w:val="00F07084"/>
    <w:rsid w:val="00F0751C"/>
    <w:rsid w:val="00F121D7"/>
    <w:rsid w:val="00F17AFF"/>
    <w:rsid w:val="00F2371E"/>
    <w:rsid w:val="00F31D0C"/>
    <w:rsid w:val="00F33069"/>
    <w:rsid w:val="00F41A48"/>
    <w:rsid w:val="00F553F0"/>
    <w:rsid w:val="00F61C65"/>
    <w:rsid w:val="00F62C15"/>
    <w:rsid w:val="00F659E9"/>
    <w:rsid w:val="00F7365D"/>
    <w:rsid w:val="00F87F6A"/>
    <w:rsid w:val="00F96165"/>
    <w:rsid w:val="00F9622D"/>
    <w:rsid w:val="00F97E48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F27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4143-3D74-4D54-B5C2-F6937D04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2023-04-17T10:17:00Z</dcterms:created>
  <dcterms:modified xsi:type="dcterms:W3CDTF">2026-04-07T09:25:00Z</dcterms:modified>
</cp:coreProperties>
</file>